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GUY HARPAZ</w:t>
      </w:r>
    </w:p>
    <w:p w:rsidR="000F3542" w:rsidRPr="000F3542" w:rsidRDefault="000F3542" w:rsidP="000F3542">
      <w:pPr>
        <w:shd w:val="clear" w:color="auto" w:fill="FFFFFF"/>
        <w:spacing w:after="0" w:line="240" w:lineRule="auto"/>
        <w:ind w:right="156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F3542">
        <w:rPr>
          <w:rFonts w:ascii="Arial" w:eastAsia="Times New Roman" w:hAnsi="Arial" w:cs="Arial"/>
          <w:color w:val="000000"/>
          <w:sz w:val="18"/>
          <w:szCs w:val="18"/>
        </w:rPr>
        <w:t>Date and Place of Birth: August 22, 1968, Israel</w:t>
      </w:r>
    </w:p>
    <w:p w:rsidR="000F3542" w:rsidRDefault="000F3542" w:rsidP="000F3542">
      <w:pPr>
        <w:shd w:val="clear" w:color="auto" w:fill="FFFFFF"/>
        <w:spacing w:after="0" w:line="240" w:lineRule="auto"/>
        <w:ind w:right="156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F3542">
        <w:rPr>
          <w:rFonts w:ascii="Arial" w:eastAsia="Times New Roman" w:hAnsi="Arial" w:cs="Arial"/>
          <w:color w:val="000000"/>
          <w:sz w:val="18"/>
          <w:szCs w:val="18"/>
        </w:rPr>
        <w:t>Nationality: Israeli and South African</w:t>
      </w:r>
    </w:p>
    <w:p w:rsidR="000F3542" w:rsidRPr="000F3542" w:rsidRDefault="000F3542" w:rsidP="000F3542">
      <w:pPr>
        <w:shd w:val="clear" w:color="auto" w:fill="FFFFFF"/>
        <w:spacing w:after="0" w:line="240" w:lineRule="auto"/>
        <w:ind w:right="156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F3542">
        <w:rPr>
          <w:rFonts w:ascii="Arial" w:eastAsia="Times New Roman" w:hAnsi="Arial" w:cs="Arial"/>
          <w:color w:val="000000"/>
          <w:sz w:val="18"/>
          <w:szCs w:val="18"/>
        </w:rPr>
        <w:t xml:space="preserve">Marital Status: One daughter, </w:t>
      </w:r>
      <w:proofErr w:type="spellStart"/>
      <w:r w:rsidRPr="000F3542">
        <w:rPr>
          <w:rFonts w:ascii="Arial" w:eastAsia="Times New Roman" w:hAnsi="Arial" w:cs="Arial"/>
          <w:color w:val="000000"/>
          <w:sz w:val="18"/>
          <w:szCs w:val="18"/>
        </w:rPr>
        <w:t>Noa</w:t>
      </w:r>
      <w:proofErr w:type="spellEnd"/>
      <w:r w:rsidRPr="000F3542">
        <w:rPr>
          <w:rFonts w:ascii="Arial" w:eastAsia="Times New Roman" w:hAnsi="Arial" w:cs="Arial"/>
          <w:color w:val="000000"/>
          <w:sz w:val="18"/>
          <w:szCs w:val="18"/>
          <w:rtl/>
        </w:rPr>
        <w:t>.</w:t>
      </w:r>
    </w:p>
    <w:p w:rsidR="000F3542" w:rsidRPr="000F3542" w:rsidRDefault="000F3542" w:rsidP="000F3542">
      <w:pPr>
        <w:shd w:val="clear" w:color="auto" w:fill="FFFFFF"/>
        <w:spacing w:after="0" w:line="240" w:lineRule="auto"/>
        <w:ind w:right="1560"/>
        <w:jc w:val="right"/>
        <w:rPr>
          <w:rFonts w:ascii="Arial" w:eastAsia="Times New Roman" w:hAnsi="Arial" w:cs="Arial" w:hint="cs"/>
          <w:color w:val="000000"/>
          <w:sz w:val="18"/>
          <w:szCs w:val="18"/>
          <w:rtl/>
        </w:rPr>
      </w:pPr>
      <w:r w:rsidRPr="000F3542">
        <w:rPr>
          <w:rFonts w:ascii="Arial" w:eastAsia="Times New Roman" w:hAnsi="Arial" w:cs="Arial"/>
          <w:color w:val="000000"/>
          <w:sz w:val="18"/>
          <w:szCs w:val="18"/>
        </w:rPr>
        <w:t>Military Service: 1987-1990</w:t>
      </w:r>
      <w:bookmarkStart w:id="0" w:name="_GoBack"/>
      <w:bookmarkEnd w:id="0"/>
    </w:p>
    <w:p w:rsidR="000F3542" w:rsidRPr="000F3542" w:rsidRDefault="000F3542" w:rsidP="000F3542">
      <w:pPr>
        <w:shd w:val="clear" w:color="auto" w:fill="FFFFFF"/>
        <w:spacing w:after="0" w:line="240" w:lineRule="auto"/>
        <w:ind w:right="156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F3542">
        <w:rPr>
          <w:rFonts w:ascii="Arial" w:eastAsia="Times New Roman" w:hAnsi="Arial" w:cs="Arial"/>
          <w:color w:val="000000"/>
          <w:sz w:val="18"/>
          <w:szCs w:val="18"/>
        </w:rPr>
        <w:t xml:space="preserve">Home address: </w:t>
      </w:r>
      <w:proofErr w:type="spellStart"/>
      <w:r w:rsidRPr="000F3542">
        <w:rPr>
          <w:rFonts w:ascii="Arial" w:eastAsia="Times New Roman" w:hAnsi="Arial" w:cs="Arial"/>
          <w:color w:val="000000"/>
          <w:sz w:val="18"/>
          <w:szCs w:val="18"/>
        </w:rPr>
        <w:t>P.O.Box</w:t>
      </w:r>
      <w:proofErr w:type="spellEnd"/>
      <w:r w:rsidRPr="000F3542">
        <w:rPr>
          <w:rFonts w:ascii="Arial" w:eastAsia="Times New Roman" w:hAnsi="Arial" w:cs="Arial"/>
          <w:color w:val="000000"/>
          <w:sz w:val="18"/>
          <w:szCs w:val="18"/>
        </w:rPr>
        <w:t xml:space="preserve"> 78, </w:t>
      </w:r>
      <w:proofErr w:type="spellStart"/>
      <w:r w:rsidRPr="000F3542">
        <w:rPr>
          <w:rFonts w:ascii="Arial" w:eastAsia="Times New Roman" w:hAnsi="Arial" w:cs="Arial"/>
          <w:color w:val="000000"/>
          <w:sz w:val="18"/>
          <w:szCs w:val="18"/>
        </w:rPr>
        <w:t>Nataf</w:t>
      </w:r>
      <w:proofErr w:type="spellEnd"/>
      <w:r w:rsidRPr="000F3542">
        <w:rPr>
          <w:rFonts w:ascii="Arial" w:eastAsia="Times New Roman" w:hAnsi="Arial" w:cs="Arial"/>
          <w:color w:val="000000"/>
          <w:sz w:val="18"/>
          <w:szCs w:val="18"/>
        </w:rPr>
        <w:t xml:space="preserve"> 90804, Israel</w:t>
      </w:r>
      <w:r w:rsidRPr="000F3542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  </w:t>
      </w:r>
    </w:p>
    <w:p w:rsidR="000F3542" w:rsidRPr="000F3542" w:rsidRDefault="000F3542" w:rsidP="000F3542">
      <w:pPr>
        <w:shd w:val="clear" w:color="auto" w:fill="FFFFFF"/>
        <w:spacing w:after="0" w:line="240" w:lineRule="auto"/>
        <w:ind w:right="156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F3542">
        <w:rPr>
          <w:rFonts w:ascii="Arial" w:eastAsia="Times New Roman" w:hAnsi="Arial" w:cs="Arial"/>
          <w:color w:val="000000"/>
          <w:sz w:val="18"/>
          <w:szCs w:val="18"/>
        </w:rPr>
        <w:t xml:space="preserve">Office Address: Law Faculty, Hebrew University of Jerusalem, </w:t>
      </w:r>
      <w:proofErr w:type="spellStart"/>
      <w:r w:rsidRPr="000F3542">
        <w:rPr>
          <w:rFonts w:ascii="Arial" w:eastAsia="Times New Roman" w:hAnsi="Arial" w:cs="Arial"/>
          <w:color w:val="000000"/>
          <w:sz w:val="18"/>
          <w:szCs w:val="18"/>
        </w:rPr>
        <w:t>MountScopus</w:t>
      </w:r>
      <w:proofErr w:type="spellEnd"/>
      <w:r w:rsidRPr="000F3542">
        <w:rPr>
          <w:rFonts w:ascii="Arial" w:eastAsia="Times New Roman" w:hAnsi="Arial" w:cs="Arial"/>
          <w:color w:val="000000"/>
          <w:sz w:val="18"/>
          <w:szCs w:val="18"/>
        </w:rPr>
        <w:t>, Jerusalem, 91905, Israel</w:t>
      </w:r>
    </w:p>
    <w:p w:rsidR="000F3542" w:rsidRDefault="000F3542" w:rsidP="000F3542">
      <w:pPr>
        <w:shd w:val="clear" w:color="auto" w:fill="FFFFFF"/>
        <w:spacing w:after="0" w:line="240" w:lineRule="auto"/>
        <w:ind w:right="156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F3542">
        <w:rPr>
          <w:rFonts w:ascii="Arial" w:eastAsia="Times New Roman" w:hAnsi="Arial" w:cs="Arial"/>
          <w:color w:val="000000"/>
          <w:sz w:val="18"/>
          <w:szCs w:val="18"/>
        </w:rPr>
        <w:t>Tel: (Home) – 972-2-5330060; 972-56-84855</w:t>
      </w:r>
    </w:p>
    <w:p w:rsidR="000F3542" w:rsidRDefault="000F3542" w:rsidP="000F3542">
      <w:pPr>
        <w:shd w:val="clear" w:color="auto" w:fill="FFFFFF"/>
        <w:spacing w:after="0" w:line="240" w:lineRule="auto"/>
        <w:ind w:right="156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F3542">
        <w:rPr>
          <w:rFonts w:ascii="Arial" w:eastAsia="Times New Roman" w:hAnsi="Arial" w:cs="Arial"/>
          <w:color w:val="000000"/>
          <w:sz w:val="18"/>
          <w:szCs w:val="18"/>
        </w:rPr>
        <w:t xml:space="preserve"> (Office) -972 -2 – 5882561</w:t>
      </w:r>
    </w:p>
    <w:p w:rsidR="000F3542" w:rsidRPr="000F3542" w:rsidRDefault="000F3542" w:rsidP="000F3542">
      <w:pPr>
        <w:shd w:val="clear" w:color="auto" w:fill="FFFFFF"/>
        <w:spacing w:after="0" w:line="240" w:lineRule="auto"/>
        <w:ind w:right="156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e</w:t>
      </w:r>
      <w:r w:rsidRPr="000F3542">
        <w:rPr>
          <w:rFonts w:ascii="Arial" w:eastAsia="Times New Roman" w:hAnsi="Arial" w:cs="Arial"/>
          <w:color w:val="000000"/>
          <w:sz w:val="18"/>
          <w:szCs w:val="18"/>
        </w:rPr>
        <w:t>-mail</w:t>
      </w:r>
      <w:proofErr w:type="gramEnd"/>
      <w:r w:rsidRPr="000F3542">
        <w:rPr>
          <w:rFonts w:ascii="Arial" w:eastAsia="Times New Roman" w:hAnsi="Arial" w:cs="Arial"/>
          <w:color w:val="000000"/>
          <w:sz w:val="18"/>
          <w:szCs w:val="18"/>
        </w:rPr>
        <w:t xml:space="preserve">: gharpaz@mscc.huji.ac.il  </w:t>
      </w:r>
    </w:p>
    <w:p w:rsid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b/>
          <w:bCs/>
          <w:color w:val="000000"/>
          <w:sz w:val="24"/>
          <w:szCs w:val="24"/>
        </w:rPr>
        <w:t>Higher Education  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1.   1993 - LL.B. with EC Law (First Class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Honours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>), University of Leeds, England and K.U. Leuven, Belgium; 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2.      1994 - LL.M. in Commercial and EC Law (First Class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Honours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,Wolfson</w:t>
      </w:r>
      <w:proofErr w:type="gramEnd"/>
      <w:r w:rsidRPr="000F3542">
        <w:rPr>
          <w:rFonts w:ascii="Arial" w:eastAsia="Times New Roman" w:hAnsi="Arial" w:cs="Arial"/>
          <w:color w:val="000000"/>
          <w:sz w:val="24"/>
          <w:szCs w:val="24"/>
        </w:rPr>
        <w:t> College, Un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iversity of Cambridge, England;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3.      2003 - Ph.D., St John’s College, University of Cambridge, subject of the doctoral thesis: "The EC Anti-Dumping Policy: Turning a Blind Eye to Competition Policy Considerations?"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Non-Academic Professional Experience</w:t>
      </w:r>
    </w:p>
    <w:p w:rsidR="000F3542" w:rsidRPr="000F3542" w:rsidRDefault="000F3542" w:rsidP="000F3542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1992 - Summer Associate, Clifford Chance, Brussels, Belgium;</w:t>
      </w:r>
    </w:p>
    <w:p w:rsidR="000F3542" w:rsidRPr="000F3542" w:rsidRDefault="000F3542" w:rsidP="000F3542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1994-95 - Articled clerk in the legal department, Bank of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Israel,Jerusalem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0F3542" w:rsidRPr="000F3542" w:rsidRDefault="000F3542" w:rsidP="000F3542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1995-96 - Assistant to the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honourable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Supreme Court Justice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Tova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Strasberg-Cohen;</w:t>
      </w:r>
    </w:p>
    <w:p w:rsidR="000F3542" w:rsidRPr="000F3542" w:rsidRDefault="000F3542" w:rsidP="000F3542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1996-97 - Lawyer, Finance Ministry, handling the regulation of capital and insurance           markets;</w:t>
      </w:r>
    </w:p>
    <w:p w:rsidR="000F3542" w:rsidRPr="000F3542" w:rsidRDefault="000F3542" w:rsidP="000F3542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1997-98 - Lawyer, The Office of the Prime Minister of Israel, handling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privatisation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of            government corporations;</w:t>
      </w:r>
    </w:p>
    <w:p w:rsidR="000F3542" w:rsidRPr="000F3542" w:rsidRDefault="000F3542" w:rsidP="000F3542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2004 - to present date - Panelist - Dispute Settlement, the Israeli-Mexican Free Trade         Agreement 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 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Academic Appointments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F3542" w:rsidRPr="000F3542" w:rsidRDefault="000F3542" w:rsidP="000F3542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July 2004 - Lecturer, Department of International Relations and Law Faculty, Hebrew University, Jerusalem;</w:t>
      </w:r>
    </w:p>
    <w:p w:rsidR="000F3542" w:rsidRPr="000F3542" w:rsidRDefault="000F3542" w:rsidP="000F3542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October, 2005 to July 2008 - Jean Monnet Module, European Community – Hebrew University of Jerusalem;</w:t>
      </w:r>
    </w:p>
    <w:p w:rsidR="000F3542" w:rsidRPr="000F3542" w:rsidRDefault="000F3542" w:rsidP="000F3542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July 2004 - LL.B. Advisor, Law Faculty, Hebrew University, Jerusalem;</w:t>
      </w:r>
    </w:p>
    <w:p w:rsidR="000F3542" w:rsidRPr="000F3542" w:rsidRDefault="000F3542" w:rsidP="000F3542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August 2005 - </w:t>
      </w:r>
      <w:proofErr w:type="gram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B.A..</w:t>
      </w:r>
      <w:proofErr w:type="gram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Advisor, Department of International Relations, Hebrew University;</w:t>
      </w:r>
    </w:p>
    <w:p w:rsidR="000F3542" w:rsidRPr="000F3542" w:rsidRDefault="000F3542" w:rsidP="000F3542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March 2005 - Member of Teaching Committee, Law Faculty, Hebrew University, Jerusalem;</w:t>
      </w:r>
    </w:p>
    <w:p w:rsidR="000F3542" w:rsidRPr="000F3542" w:rsidRDefault="000F3542" w:rsidP="000F3542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October 2005 - Member of Teaching Committee,  Department of International Relations, Hebrew University, Jerusalem;</w:t>
      </w:r>
    </w:p>
    <w:p w:rsidR="000F3542" w:rsidRPr="000F3542" w:rsidRDefault="000F3542" w:rsidP="000F3542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May 2005 - May 2008 - Member of the Academic Advisory Committee, European Forum, Hebrew University;</w:t>
      </w:r>
    </w:p>
    <w:p w:rsidR="000F3542" w:rsidRPr="000F3542" w:rsidRDefault="000F3542" w:rsidP="000F3542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October, 2001 to July 2004 - Jean Monnet Module, European Community – Law Faculty, University of Haifa. The first Module of EC Law created by the EC in Israel;</w:t>
      </w:r>
    </w:p>
    <w:p w:rsidR="000F3542" w:rsidRPr="000F3542" w:rsidRDefault="000F3542" w:rsidP="000F3542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October 2003 to present - Member of the Steering Committee, the Posen Research Forum for Jewish, European and Israeli Political Thought</w:t>
      </w:r>
    </w:p>
    <w:p w:rsidR="000F3542" w:rsidRPr="000F3542" w:rsidRDefault="000F3542" w:rsidP="000F3542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October, 2002 to October 2003 - coordinator, 4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 Year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Students,University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of Haifa;</w:t>
      </w:r>
    </w:p>
    <w:p w:rsidR="000F3542" w:rsidRPr="000F3542" w:rsidRDefault="000F3542" w:rsidP="000F3542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October, 2001 to October 2003 - member of the Committee for Students, University of Haifa;</w:t>
      </w:r>
    </w:p>
    <w:p w:rsidR="000F3542" w:rsidRPr="000F3542" w:rsidRDefault="000F3542" w:rsidP="000F3542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1993-97 - Teaching and Research Assistant, Law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Faculty</w:t>
      </w:r>
      <w:proofErr w:type="gram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,University</w:t>
      </w:r>
      <w:proofErr w:type="spellEnd"/>
      <w:proofErr w:type="gram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of Haifa.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Additional Academic Activities</w:t>
      </w:r>
    </w:p>
    <w:p w:rsidR="000F3542" w:rsidRPr="000F3542" w:rsidRDefault="000F3542" w:rsidP="000F3542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2001 to present date - Editor of the Newsletter of the Israeli Association for the Study of European Integration;</w:t>
      </w:r>
    </w:p>
    <w:p w:rsidR="000F3542" w:rsidRPr="000F3542" w:rsidRDefault="000F3542" w:rsidP="000F3542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2001- to present date - Honorary Fellow, Centre for International Legal Studies, Salzburg, Austria;</w:t>
      </w:r>
    </w:p>
    <w:p w:rsidR="000F3542" w:rsidRPr="000F3542" w:rsidRDefault="000F3542" w:rsidP="000F3542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2002 to present date - Member of the Executive Committee of the Israeli Association for the Study of European Integration;</w:t>
      </w:r>
    </w:p>
    <w:p w:rsidR="000F3542" w:rsidRPr="000F3542" w:rsidRDefault="000F3542" w:rsidP="000F3542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2004 to present date - National Correspondence - The International Trade Law and Regulation (with Dr. Rachel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Frid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);</w:t>
      </w:r>
    </w:p>
    <w:p w:rsidR="000F3542" w:rsidRPr="000F3542" w:rsidRDefault="000F3542" w:rsidP="000F3542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2004 - Member of the Steering Committee for an international conference on European Studies, organized by the Israeli Association for the Study of European Integration;</w:t>
      </w:r>
    </w:p>
    <w:p w:rsidR="000F3542" w:rsidRPr="000F3542" w:rsidRDefault="000F3542" w:rsidP="000F3542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2003 to 2005 - Member of the Steering Committee, the Posen Research Forum for Jewish, European and Israeli Political Thought</w:t>
      </w:r>
    </w:p>
    <w:p w:rsidR="000F3542" w:rsidRPr="000F3542" w:rsidRDefault="000F3542" w:rsidP="000F35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  <w:rtl/>
        </w:rPr>
        <w:t> 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rtl/>
        </w:rPr>
      </w:pP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Awards and Scholarships  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October 2005 – October 2008 –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Head of the Jean Monnet Module, European Community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; Hebrew University 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ofJerusalem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2005 - The Levy Eshkol Institute for Social, Economic and Political Research in Israel, Research Grant, "Israel's Status in the Evolving European Integration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Programme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- Levy Eshkol's Perspective";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June 2005 - 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Research Grant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, awarded by the Leonard Davis Institute for International Relations, the Hebrew University, for a research project -  "The European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Neighbourhood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Policy";  The EU and its Involvement in the Middle East Peace Process: The Quest for Enhanced Legitimacy -  The EU Involvement in the Cyprus Conflict as a Litmus Test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June 2005 –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Birk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Prize, Hebrew University;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December 2004 - 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Research Grant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, awarded by the Leonard Davis Institute for International Relations, the Hebrew University, for a research project -  "The European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Neighbourhood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Policy"; 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November 2004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- Research Grant, 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awarded by the University Institute for Diplomacy and Regional Cooperation, Tel Aviv University, for the research project "The European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Neighbourhood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Policy: An Optimal Instrument for Social Engineering, Peace Promotion and Regional Economic Cooperation?";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July 2004 - 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Prize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granted by the Israeli Association for the Study of European Integration and the EU-Israel Forum for the paper – "Dumping" the Anti-Dumping Instruments in the Trade Relations between the European Union and the State of Israel under the Wider Europe Initiative? - The European Union's Perspective;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May 2003 - 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Faculty Research Award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, International Council for Canadian Studies, grant for research in Canadian trade history;  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January 2003 -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University of Haifa Prize for excellence in lecturing; 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October 2001 to present date -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Head of the Jean Monnet Module, European Community 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- University of Haifa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(it is the first time that the EC has created a module of EC Law in Israel);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June 2001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Cambridge European Scholarship;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February, 2001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St. John’s College Grant;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August 2000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European Union Grant, Visiting Scholar, European University Institute, 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Florence, Italy;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2000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University of Haifa Grant 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in support of the doctorate studies; 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Academic years 1999-2000 and 2000-2001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Allen, Meek and Read Award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, awarded for progress in the Ph.D. studies by the University of Cambridge;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1998-2001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ORS Award, Cambridge Overseas Trust Scholarship and four other scholarships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, awarded for Ph.D. studies;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1994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Wolfson College Jennings Prize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 awarded for First Class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Honours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LL.M. studies at the University of Cambridge;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1993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Hughes Prize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awarded to the second best student in the Law Faculty of Leeds University;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1993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proofErr w:type="spellStart"/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McCormicks</w:t>
      </w:r>
      <w:proofErr w:type="spellEnd"/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Prize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awarded for the best Company Law paper at Leeds University;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1992 -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Three grants to support  participation as a 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Regional Finalist in the European Law Moot Court Competition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, Lisbon, Portugal;</w:t>
      </w:r>
    </w:p>
    <w:p w:rsidR="000F3542" w:rsidRPr="000F3542" w:rsidRDefault="000F3542" w:rsidP="000F3542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1991 - </w:t>
      </w: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Crabtree Prize 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awarded to outstanding first-year students at Leeds University;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Academic and Public Lectures  </w:t>
      </w:r>
    </w:p>
    <w:p w:rsidR="000F3542" w:rsidRPr="000F3542" w:rsidRDefault="000F3542" w:rsidP="000F354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24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May, 2003, "Reforming the EC Anti-Dumping Policy", Faculty Seminar, Law Faculty, the University of Haifa (paper and lecture);  </w:t>
      </w:r>
    </w:p>
    <w:p w:rsidR="000F3542" w:rsidRPr="000F3542" w:rsidRDefault="000F3542" w:rsidP="000F354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13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January, 2004 – "Israel and the Global Village" - Legal Department, Ministry of Trade and Industry, Jerusalem (lecture);</w:t>
      </w:r>
    </w:p>
    <w:p w:rsidR="000F3542" w:rsidRPr="000F3542" w:rsidRDefault="000F3542" w:rsidP="000F354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24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March, 2004 "Reform of the EC Anti-Dumping Policy", Faculty Seminar, Law Faculty, the Hebrew University of Jerusalem (paper and lecture); </w:t>
      </w:r>
    </w:p>
    <w:p w:rsidR="000F3542" w:rsidRPr="000F3542" w:rsidRDefault="000F3542" w:rsidP="000F354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29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April, 2004 - "Dumping" the Anti-Dumping Instruments in the Trade Relations between the European Union and the State of Israel under the Wider Europe Initiative? - The European Union's Perspective" - the Israeli Association for the Study of European Integration, Bar-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Ilan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University (paper and lecture); </w:t>
      </w:r>
    </w:p>
    <w:p w:rsidR="000F3542" w:rsidRPr="000F3542" w:rsidRDefault="000F3542" w:rsidP="000F354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2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nd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May, 2004 – "Israel and the Wider Europe Initiative" - Annual Conference of the Israeli Association for International Studies, University of Haifa (lecture); </w:t>
      </w:r>
    </w:p>
    <w:p w:rsidR="000F3542" w:rsidRPr="000F3542" w:rsidRDefault="000F3542" w:rsidP="000F354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11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 May, 2004 – "The European Union" – Annual Conference, Israel Law Bar,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Eila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(lecture)t; </w:t>
      </w:r>
    </w:p>
    <w:p w:rsidR="000F3542" w:rsidRPr="000F3542" w:rsidRDefault="000F3542" w:rsidP="000F354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23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rd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June, 2004 – "Old and New Challenges in Israel-EU Relations", Ministry of Justice, Jerusalem (lecture);</w:t>
      </w:r>
    </w:p>
    <w:p w:rsidR="000F3542" w:rsidRPr="000F3542" w:rsidRDefault="000F3542" w:rsidP="000F354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25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 October, 2004 – "The European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Neighbourhood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Policy as a Social Engineering Instrument?, in the conference "The EU in Regional and Bilateral Dispute Settlement", IDC,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Herzlia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(paper and lecture); </w:t>
      </w:r>
    </w:p>
    <w:p w:rsidR="000F3542" w:rsidRPr="000F3542" w:rsidRDefault="000F3542" w:rsidP="000F354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27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October, 2004 – "Israel-EU Relations", Centre for European Legal Studies, University of Cambridge, England (paper and lecture);</w:t>
      </w:r>
    </w:p>
    <w:p w:rsidR="000F3542" w:rsidRPr="000F3542" w:rsidRDefault="000F3542" w:rsidP="000F354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13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th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 December, 2004, "EU Enlargement, the New Constitution and the European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Neighbourhood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Policy" Towards a European Constitution: Processes of Integration or Issues of Discord?, International Conference organized by the Helmut Kohl Institute for European Studies of the Hebrew University in cooperation with Konrad Adenauer Foundation and EU-Israel Forum, Hebrew University, Jerusalem (paper and lecture);</w:t>
      </w:r>
    </w:p>
    <w:p w:rsidR="000F3542" w:rsidRPr="000F3542" w:rsidRDefault="000F3542" w:rsidP="000F354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17 March, 2005 – "The Obstacles and Challenges that Lie ahead for a Successful Implications for the European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Neighbourhood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Policy as a Social Engineering and Peace-Promotion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Instrument","the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Sixth Mediterranean Social and Political Research Meeting,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organised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by the Mediterranean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Programme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of the Robert Schuman Centre for Advanced Studies at the European University Institute in Florence (paper and lecture);</w:t>
      </w:r>
    </w:p>
    <w:p w:rsidR="000F3542" w:rsidRPr="000F3542" w:rsidRDefault="000F3542" w:rsidP="000F354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16 May, 2005, "The Israeli New Civil Code from an EU Perspective", IDC,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Herzlia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(paper and lecture);</w:t>
      </w:r>
    </w:p>
    <w:p w:rsidR="000F3542" w:rsidRPr="000F3542" w:rsidRDefault="000F3542" w:rsidP="000F354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15 April, “US and EU Policies in the Middle East: the Rhetoric and the Record”, Intercollege, Nicosia (paper and lecture);</w:t>
      </w:r>
    </w:p>
    <w:p w:rsidR="000F3542" w:rsidRPr="000F3542" w:rsidRDefault="000F3542" w:rsidP="000F354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15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 </w:t>
      </w: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June, 2005,"EU-Israel Relations", International Law Forum, Law Faculty, the Hebrew University of Jerusalem (paper);   </w:t>
      </w:r>
    </w:p>
    <w:p w:rsidR="000F3542" w:rsidRPr="000F3542" w:rsidRDefault="000F3542" w:rsidP="000F354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4 July, 2005, "Teaching EU Law", International Consortium on Legal Education, Second Annual Conference,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Yeditepe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 University, Istanbul (lecture);</w:t>
      </w:r>
    </w:p>
    <w:p w:rsidR="000F3542" w:rsidRPr="000F3542" w:rsidRDefault="000F3542" w:rsidP="000F3542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22 March, 2006, "EU "exportation" of human rights to the Mediterranean", Universidad Alfonso X el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Sabio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Dean of the Faculty of Social Studies at Alfonso X University el </w:t>
      </w:r>
      <w:proofErr w:type="spellStart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Sabio</w:t>
      </w:r>
      <w:proofErr w:type="spellEnd"/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, Madrid (paper and lecture).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Memberships  </w:t>
      </w:r>
    </w:p>
    <w:p w:rsidR="000F3542" w:rsidRPr="000F3542" w:rsidRDefault="000F3542" w:rsidP="000F3542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Israeli Bar;</w:t>
      </w:r>
    </w:p>
    <w:p w:rsidR="000F3542" w:rsidRPr="000F3542" w:rsidRDefault="000F3542" w:rsidP="000F3542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International Relations Committee (Israel-EU) - Israeli Bar; </w:t>
      </w:r>
    </w:p>
    <w:p w:rsidR="000F3542" w:rsidRPr="000F3542" w:rsidRDefault="000F3542" w:rsidP="000F3542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Wolfson College, University of Cambridge (Alumnus);</w:t>
      </w:r>
    </w:p>
    <w:p w:rsidR="000F3542" w:rsidRPr="000F3542" w:rsidRDefault="000F3542" w:rsidP="000F3542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St. John’s College, University of Cambridge (Alumnus);</w:t>
      </w:r>
    </w:p>
    <w:p w:rsidR="000F3542" w:rsidRPr="000F3542" w:rsidRDefault="000F3542" w:rsidP="000F3542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Cambridge Overseas Trust;</w:t>
      </w:r>
    </w:p>
    <w:p w:rsidR="000F3542" w:rsidRPr="000F3542" w:rsidRDefault="000F3542" w:rsidP="000F3542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Israeli Association for the Study of European Integration;</w:t>
      </w:r>
    </w:p>
    <w:p w:rsidR="000F3542" w:rsidRPr="000F3542" w:rsidRDefault="000F3542" w:rsidP="000F3542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Israeli Committee for the Advancement of Israel-China Relations;</w:t>
      </w:r>
    </w:p>
    <w:p w:rsidR="000F3542" w:rsidRPr="000F3542" w:rsidRDefault="000F3542" w:rsidP="000F3542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The University Association for Contemporary European Studies;</w:t>
      </w:r>
    </w:p>
    <w:p w:rsidR="000F3542" w:rsidRPr="000F3542" w:rsidRDefault="000F3542" w:rsidP="000F3542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European Community Studies Association;</w:t>
      </w:r>
    </w:p>
    <w:p w:rsidR="000F3542" w:rsidRPr="000F3542" w:rsidRDefault="000F3542" w:rsidP="000F3542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Israel Association for Canadian Studies;</w:t>
      </w:r>
    </w:p>
    <w:p w:rsidR="000F3542" w:rsidRPr="000F3542" w:rsidRDefault="000F3542" w:rsidP="000F3542">
      <w:pPr>
        <w:numPr>
          <w:ilvl w:val="0"/>
          <w:numId w:val="6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color w:val="000000"/>
          <w:sz w:val="24"/>
          <w:szCs w:val="24"/>
        </w:rPr>
        <w:t>Israeli Civil Society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Publications: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b/>
          <w:bCs/>
          <w:color w:val="000000"/>
          <w:sz w:val="24"/>
          <w:szCs w:val="24"/>
        </w:rPr>
        <w:t>I. books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>1.   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European Community's Common Commercial Policy - The Quest for Enhanced Predictability, Rationality, Solidarity and Legitimacy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 (forthcoming - Cameron May, London);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>2.   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European Union Law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 (in Hebrew) (forthcoming -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Machon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Lemishpat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vecalcala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, Tel-Aviv) (with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Eran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Lev)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Articles and Book Reviews   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>1.      ""Dumping" the Anti-Dumping Instruments in the Trade Relations between the European Union and the State of Israel? - The European Union's Perspective", 39/3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Journal of World Trade</w:t>
      </w:r>
      <w:proofErr w:type="gram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  445</w:t>
      </w:r>
      <w:proofErr w:type="gramEnd"/>
      <w:r w:rsidRPr="000F3542">
        <w:rPr>
          <w:rFonts w:ascii="Arial" w:eastAsia="Times New Roman" w:hAnsi="Arial" w:cs="Arial"/>
          <w:color w:val="000000"/>
          <w:sz w:val="24"/>
          <w:szCs w:val="24"/>
        </w:rPr>
        <w:t>-482 (2005);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>2.      "The Europe Neighborhood Policy and its Impact on the Israeli-European Union-United States Triangle", 6/2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San </w:t>
      </w:r>
      <w:proofErr w:type="spellStart"/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DiegoInternational</w:t>
      </w:r>
      <w:proofErr w:type="spellEnd"/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Law Journal 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295-322 (2005);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>3.      "The Israeli Supreme Court in Search of Universal Legitimacy" 65(1)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Cambridge Law Journal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 (2005) (forthcoming);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>4.      "The European Free Trade Association",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Max Planck Encyclopedia of Public International Law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 (forthcoming);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>5.      "The European Community's Common Commercial Policy – The Quest for Enhanced Predictability, Rationality, Solidarity and Legitimacy", 5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Cambridge </w:t>
      </w:r>
      <w:proofErr w:type="gramStart"/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Yearbook</w:t>
      </w:r>
      <w:proofErr w:type="gramEnd"/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on European Legal Studies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195-236 (2004); 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6.      "The Effectiveness of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Eu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>-Rope’s “Soft” Power Instruments in its Relations with the State of Israel", 7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Cambridge Yearbook on European Legal Studies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 159-185 (2005) (forthcoming);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7.       "EU-Israel and the European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Neighbourhood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Policy: Legal and Economic Implications", 31/4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Legal Issues of Economic Integration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 257-274 (2004);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>8.      "The Dispute over the Treatment of Products Exported to the European Union from the Golan Heights, East Jerusalem, the West Bank and the Gaza Strip-The Limits of Power and the Limits of the Law" 38/6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Journal of World Trade 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1049-1058 (2004);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9.      "The European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Neighbourhood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Policy and its Impact on the State of Israel"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Law and Business 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(IDC, Israel) [Hebrew] (forthcoming);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>10.  "Money Laundering in Israel: Time for a Clean Break", 4/3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Journal of Money Laundering Control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 264-282 (2000);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11.  G.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Harpaz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and R.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Frid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>, "Case Note - The Israeli Supreme Court Judgment on Force-Feeding of Geese", 10/1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International Trade Law and Regulation 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N-2-3 (2004);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12.  G.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Harpaz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and R.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Frid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>, "The Wider Europe Initiative", 10/2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International Trade Law and Regulation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 N-6-7 (2004);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13.  G.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Harpaz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and R.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Frid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>, "An Agreement Reached over the Treatment of Products Exported to the European Union from the Golan Heights, East Jerusalem, the West Bank and the Gaza Strip", 10/6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International Trade Law and Regulation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 N32-N33 (2004);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14.  G.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Harpaz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and R.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Frid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>, "An Economic Protocol was Signed by the United States, Egypt and Israel establishing Three Qualified Industrial Zones in Egypt", 11/1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International Trade Law and Regulation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 (2005) (forthcoming);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15.  "Israeli Supreme Court rules on the interpretation of a contract concluded between the State of Israel and the Vegetable Farmers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Organisation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aimed at compensating for losses incurred by the Organization due to the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liberalisation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of trade between Israel and the Palestinian Authority", 11/4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International Trade Law and Regulation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 (2005) (forthcoming);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16.  G.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Harpaz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and S. Colombo, ‘Money Laundering: Israel at a Crossroads’, 7/4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Journal of Financial Crime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 351-367 (2000)</w:t>
      </w:r>
      <w:proofErr w:type="gram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,;</w:t>
      </w:r>
      <w:proofErr w:type="gramEnd"/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17.  Book Review of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Davidi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>, "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Che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Guevara",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Medina </w:t>
      </w:r>
      <w:proofErr w:type="spellStart"/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Vechevra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> (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HaifaUniversity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>) (forthcoming);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>18.  Book Review of Theophanous, "The Cyprus Question and the EU: The Challenges and the Promise" 30/4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European Law Review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 591-595 (2005);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19.  Book Review of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Hillion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>, "EU Enlargement", 27/4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Journal of European Integration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 (2005) (forthcoming);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lastRenderedPageBreak/>
        <w:t>20.  Book Review of Hart, ‘Canadian Trade Law from Colonialism to Globalization' – 31/2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Legal Issues of Economic Integration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 153 (2004);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>21.  Book Review of Kaplan (ed.), ‘Israel Law and Business Guide’, 29/3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Israel Law Review 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545-547 (1995);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>22.  Book Review of Douglas, ‘Article 86 EEC: A Definition of the Concept of Joint Dominant Positions in the Air Transport Sector’, 2/1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European Legal Book Index 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46-47 (1995);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>23.  Book Review of Thomsen, ‘Banking and Insurance in the EC’, 2/1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European Legal Book Index 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47-48 1(995);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24.  Book Review of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Axelsson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>, ‘Procedural Safeguard and Judicial Review in EC Competition Law Procedure’, 2/1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European Legal Book Index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 48-49 (1995).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Chapters in Books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>1.      "Intellectual Property in the State of Israel", in D. Campbell and S. Meek (eds.), </w:t>
      </w:r>
      <w:proofErr w:type="gramStart"/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</w:t>
      </w:r>
      <w:proofErr w:type="gramEnd"/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Comparative Yearbook of International Business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 (Kluwer, Netherlands, 2000), 215-249;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2.      "The Canadian Roots of the Israeli Antidumping Regime", in Allen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Zysblat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and Lorraine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Weinrib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(eds.) (title to be advised – Hebrew University Press, forthcoming – appx.30 pages);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>3.      "The European Community's Anti-Dumping Policy: Turning A Blind Eye To Competition Policy Considerations</w:t>
      </w:r>
      <w:proofErr w:type="gram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?:</w:t>
      </w:r>
      <w:proofErr w:type="gram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The WTO Perspective", in Reich A. (ed.) (2004),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The World Trade </w:t>
      </w:r>
      <w:proofErr w:type="spellStart"/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Organisation</w:t>
      </w:r>
      <w:proofErr w:type="spellEnd"/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and Israel: Law, Economics and Politics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(forthcoming -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appx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>. 30 pages).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F3542" w:rsidRPr="000F3542" w:rsidRDefault="000F3542" w:rsidP="000F3542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>IV. Additional Scientific Publications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1.      "The European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Neighbourhood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Policy as a Social Engineering and Peace Promotion Instrument: The Challenges and Obstacles", a Paper presented at the Sixth Mediterranean Social and Political Research Meeting, Florence, 16-20 March, 2005,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organised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by the Mediterranean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Programme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of the Robert Schuman Centre for Advanced Studies at the European University Institute in Florence (2005);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2.      "The Obstacles and Challenges that Lie ahead for a Successful Implications for the European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Neighbourhood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Policy as a Social Engineering and Peace-Promotion Instrument", 02/04 Working Paper,  the Israeli Association for the Study of European Integration (2004);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3.      G.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Harpaz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(ed.), 8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Newsletter of the Israeli Association for the Study of European Integration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, 2001;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4.      G.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Harpaz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(ed.), 9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Newsletter of the Israeli Association for the Study of European Integration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, 2002;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5.      G.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Harpaz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(ed.), 10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Newsletter of the Israeli Association for the Study of European Integration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, 2003;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6.      G.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Harpaz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(ed.), 11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Newsletter of the Israeli Association for the Study of European Integration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 (2004).</w:t>
      </w:r>
    </w:p>
    <w:p w:rsidR="000F3542" w:rsidRPr="000F3542" w:rsidRDefault="000F3542" w:rsidP="000F354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7.      G.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Harpaz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, "Dumping" the Anti-Dumping Instruments in the Trade Relations between the European Union and the State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ofIsrael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 under the Wider Europe Initiative? </w:t>
      </w:r>
      <w:proofErr w:type="gramStart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- The European Union's Perspective", in G. </w:t>
      </w:r>
      <w:proofErr w:type="spellStart"/>
      <w:r w:rsidRPr="000F3542">
        <w:rPr>
          <w:rFonts w:ascii="Arial" w:eastAsia="Times New Roman" w:hAnsi="Arial" w:cs="Arial"/>
          <w:color w:val="000000"/>
          <w:sz w:val="24"/>
          <w:szCs w:val="24"/>
        </w:rPr>
        <w:t>Harpaz</w:t>
      </w:r>
      <w:proofErr w:type="spellEnd"/>
      <w:r w:rsidRPr="000F3542">
        <w:rPr>
          <w:rFonts w:ascii="Arial" w:eastAsia="Times New Roman" w:hAnsi="Arial" w:cs="Arial"/>
          <w:color w:val="000000"/>
          <w:sz w:val="24"/>
          <w:szCs w:val="24"/>
        </w:rPr>
        <w:t xml:space="preserve"> (ed.), 11 </w:t>
      </w:r>
      <w:r w:rsidRPr="000F3542">
        <w:rPr>
          <w:rFonts w:ascii="Arial" w:eastAsia="Times New Roman" w:hAnsi="Arial" w:cs="Arial"/>
          <w:i/>
          <w:iCs/>
          <w:color w:val="000000"/>
          <w:sz w:val="24"/>
          <w:szCs w:val="24"/>
        </w:rPr>
        <w:t>Newsletter of the Israeli Association for the Study of European Integration </w:t>
      </w:r>
      <w:r w:rsidRPr="000F3542">
        <w:rPr>
          <w:rFonts w:ascii="Arial" w:eastAsia="Times New Roman" w:hAnsi="Arial" w:cs="Arial"/>
          <w:color w:val="000000"/>
          <w:sz w:val="24"/>
          <w:szCs w:val="24"/>
        </w:rPr>
        <w:t>(2004).</w:t>
      </w:r>
      <w:proofErr w:type="gramEnd"/>
    </w:p>
    <w:p w:rsidR="00F73581" w:rsidRPr="000F3542" w:rsidRDefault="00F73581">
      <w:pPr>
        <w:rPr>
          <w:rFonts w:hint="cs"/>
          <w:sz w:val="24"/>
          <w:szCs w:val="24"/>
        </w:rPr>
      </w:pPr>
    </w:p>
    <w:sectPr w:rsidR="00F73581" w:rsidRPr="000F3542" w:rsidSect="00CB0D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7D0"/>
    <w:multiLevelType w:val="multilevel"/>
    <w:tmpl w:val="D3E2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D454E"/>
    <w:multiLevelType w:val="multilevel"/>
    <w:tmpl w:val="15A6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15623"/>
    <w:multiLevelType w:val="multilevel"/>
    <w:tmpl w:val="9202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227F7"/>
    <w:multiLevelType w:val="multilevel"/>
    <w:tmpl w:val="C4DC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F7C04"/>
    <w:multiLevelType w:val="multilevel"/>
    <w:tmpl w:val="016A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B7230"/>
    <w:multiLevelType w:val="multilevel"/>
    <w:tmpl w:val="F1B0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42"/>
    <w:rsid w:val="000F3542"/>
    <w:rsid w:val="00CB0DE5"/>
    <w:rsid w:val="00F7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0F354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354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F35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35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35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F35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0F354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354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F35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35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35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F3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2700</Words>
  <Characters>13504</Characters>
  <Application>Microsoft Office Word</Application>
  <DocSecurity>0</DocSecurity>
  <Lines>112</Lines>
  <Paragraphs>32</Paragraphs>
  <ScaleCrop>false</ScaleCrop>
  <Company>HUJI</Company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HUJI</dc:creator>
  <cp:lastModifiedBy>HUJI</cp:lastModifiedBy>
  <cp:revision>1</cp:revision>
  <dcterms:created xsi:type="dcterms:W3CDTF">2016-03-31T18:07:00Z</dcterms:created>
  <dcterms:modified xsi:type="dcterms:W3CDTF">2016-03-31T18:10:00Z</dcterms:modified>
</cp:coreProperties>
</file>